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F1" w:rsidRPr="001C193E" w:rsidRDefault="00A10D87" w:rsidP="00B613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</w:t>
      </w:r>
      <w:r w:rsidR="00B61344" w:rsidRPr="001C193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1.</w:t>
      </w:r>
    </w:p>
    <w:p w:rsidR="00A10D87" w:rsidRDefault="00884DF1">
      <w:pPr>
        <w:rPr>
          <w:rFonts w:ascii="Times New Roman" w:hAnsi="Times New Roman" w:cs="Times New Roman"/>
        </w:rPr>
      </w:pPr>
      <w:r w:rsidRPr="00884DF1">
        <w:rPr>
          <w:rFonts w:ascii="Times New Roman" w:hAnsi="Times New Roman" w:cs="Times New Roman"/>
        </w:rPr>
        <w:t xml:space="preserve">Drzwi o konstrukcji z płyty wiórowo-otworowej, gładkie, </w:t>
      </w:r>
      <w:proofErr w:type="spellStart"/>
      <w:r w:rsidR="00A10D87" w:rsidRPr="00884DF1">
        <w:rPr>
          <w:rFonts w:ascii="Times New Roman" w:hAnsi="Times New Roman" w:cs="Times New Roman"/>
        </w:rPr>
        <w:t>bezprzylgowe</w:t>
      </w:r>
      <w:proofErr w:type="spellEnd"/>
      <w:r w:rsidR="001C193E">
        <w:rPr>
          <w:rFonts w:ascii="Times New Roman" w:hAnsi="Times New Roman" w:cs="Times New Roman"/>
        </w:rPr>
        <w:t xml:space="preserve">, </w:t>
      </w:r>
      <w:r w:rsidR="001C193E" w:rsidRPr="001C193E">
        <w:rPr>
          <w:rFonts w:ascii="Times New Roman" w:hAnsi="Times New Roman" w:cs="Times New Roman"/>
        </w:rPr>
        <w:t xml:space="preserve"> </w:t>
      </w:r>
      <w:r w:rsidR="001C193E" w:rsidRPr="00884DF1">
        <w:rPr>
          <w:rFonts w:ascii="Times New Roman" w:hAnsi="Times New Roman" w:cs="Times New Roman"/>
        </w:rPr>
        <w:t>materiał zewnętrzny okleina, zawiasy wpuszczane, zamek magne</w:t>
      </w:r>
      <w:r w:rsidR="001C193E">
        <w:rPr>
          <w:rFonts w:ascii="Times New Roman" w:hAnsi="Times New Roman" w:cs="Times New Roman"/>
        </w:rPr>
        <w:t>tyczny</w:t>
      </w:r>
    </w:p>
    <w:p w:rsidR="00A10D87" w:rsidRPr="00884DF1" w:rsidRDefault="00A10D87" w:rsidP="00A10D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</w:t>
      </w:r>
      <w:r>
        <w:rPr>
          <w:rFonts w:ascii="Times New Roman" w:hAnsi="Times New Roman" w:cs="Times New Roman"/>
          <w:b/>
        </w:rPr>
        <w:t>2.</w:t>
      </w:r>
    </w:p>
    <w:p w:rsidR="00A10D87" w:rsidRDefault="00A10D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C193E">
        <w:rPr>
          <w:rFonts w:ascii="Times New Roman" w:hAnsi="Times New Roman" w:cs="Times New Roman"/>
        </w:rPr>
        <w:t xml:space="preserve">kleina CPL lub HPL, </w:t>
      </w:r>
    </w:p>
    <w:p w:rsidR="00A10D87" w:rsidRDefault="00A10D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Ad.3.</w:t>
      </w:r>
    </w:p>
    <w:p w:rsidR="00A10D87" w:rsidRDefault="00A10D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ś</w:t>
      </w:r>
      <w:r w:rsidRPr="00884DF1">
        <w:rPr>
          <w:rFonts w:ascii="Times New Roman" w:hAnsi="Times New Roman" w:cs="Times New Roman"/>
        </w:rPr>
        <w:t xml:space="preserve">cieżnice </w:t>
      </w:r>
      <w:r>
        <w:rPr>
          <w:rFonts w:ascii="Times New Roman" w:hAnsi="Times New Roman" w:cs="Times New Roman"/>
        </w:rPr>
        <w:t xml:space="preserve">drewniane </w:t>
      </w:r>
      <w:r w:rsidRPr="00884DF1">
        <w:rPr>
          <w:rFonts w:ascii="Times New Roman" w:hAnsi="Times New Roman" w:cs="Times New Roman"/>
        </w:rPr>
        <w:t>w kolorze okleiny drzwiowej</w:t>
      </w:r>
      <w:r>
        <w:rPr>
          <w:rFonts w:ascii="Times New Roman" w:hAnsi="Times New Roman" w:cs="Times New Roman"/>
          <w:b/>
        </w:rPr>
        <w:t>.</w:t>
      </w:r>
    </w:p>
    <w:p w:rsidR="00A10D87" w:rsidRDefault="00A10D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Ad.4.</w:t>
      </w:r>
    </w:p>
    <w:p w:rsidR="00463A27" w:rsidRPr="00884DF1" w:rsidRDefault="00463A27" w:rsidP="00463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DF1">
        <w:rPr>
          <w:rFonts w:ascii="Times New Roman" w:eastAsia="Times New Roman" w:hAnsi="Times New Roman" w:cs="Times New Roman"/>
          <w:sz w:val="24"/>
          <w:szCs w:val="24"/>
          <w:lang w:eastAsia="pl-PL"/>
        </w:rPr>
        <w:t>Balustrady: klatka schodowa u</w:t>
      </w:r>
      <w:r w:rsidR="00A742C9" w:rsidRPr="00884DF1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884D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742C9" w:rsidRPr="00884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DF1">
        <w:rPr>
          <w:rFonts w:ascii="Times New Roman" w:eastAsia="Times New Roman" w:hAnsi="Times New Roman" w:cs="Times New Roman"/>
          <w:sz w:val="24"/>
          <w:szCs w:val="24"/>
          <w:lang w:eastAsia="pl-PL"/>
        </w:rPr>
        <w:t>Serbańska</w:t>
      </w:r>
      <w:r w:rsidR="001C1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84DF1">
        <w:rPr>
          <w:rFonts w:ascii="Times New Roman" w:eastAsia="Times New Roman" w:hAnsi="Times New Roman" w:cs="Times New Roman"/>
          <w:sz w:val="24"/>
          <w:szCs w:val="24"/>
          <w:lang w:eastAsia="pl-PL"/>
        </w:rPr>
        <w:t>Razem: 24mb</w:t>
      </w:r>
      <w:r w:rsidR="001C1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84DF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Szczegóły balustrady na załączonym rysunku.</w:t>
      </w:r>
    </w:p>
    <w:p w:rsidR="00B21717" w:rsidRDefault="00B21717">
      <w:pPr>
        <w:rPr>
          <w:rFonts w:ascii="Times New Roman" w:hAnsi="Times New Roman" w:cs="Times New Roman"/>
        </w:rPr>
      </w:pPr>
    </w:p>
    <w:p w:rsidR="00B21717" w:rsidRPr="00884DF1" w:rsidRDefault="00A10D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Ad.5.</w:t>
      </w:r>
    </w:p>
    <w:p w:rsidR="001C193E" w:rsidRPr="00884DF1" w:rsidRDefault="001C193E" w:rsidP="001C19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884DF1">
        <w:rPr>
          <w:rFonts w:ascii="Times New Roman" w:hAnsi="Times New Roman" w:cs="Times New Roman"/>
        </w:rPr>
        <w:t>lacha tytan-cynk – krycie w systemie na podwójny rąbek stojący. Grubość blachy</w:t>
      </w:r>
      <w:r>
        <w:rPr>
          <w:rFonts w:ascii="Times New Roman" w:hAnsi="Times New Roman" w:cs="Times New Roman"/>
        </w:rPr>
        <w:t xml:space="preserve"> </w:t>
      </w:r>
      <w:r w:rsidRPr="00884DF1">
        <w:rPr>
          <w:rFonts w:ascii="Times New Roman" w:hAnsi="Times New Roman" w:cs="Times New Roman"/>
        </w:rPr>
        <w:t>0,</w:t>
      </w:r>
      <w:r w:rsidR="007702EC">
        <w:rPr>
          <w:rFonts w:ascii="Times New Roman" w:hAnsi="Times New Roman" w:cs="Times New Roman"/>
        </w:rPr>
        <w:t>7</w:t>
      </w:r>
      <w:r w:rsidR="003F264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0E349E">
        <w:rPr>
          <w:rFonts w:ascii="Times New Roman" w:hAnsi="Times New Roman" w:cs="Times New Roman"/>
        </w:rPr>
        <w:t>mm.</w:t>
      </w:r>
    </w:p>
    <w:p w:rsidR="007702EC" w:rsidRDefault="007702EC">
      <w:pPr>
        <w:rPr>
          <w:rFonts w:ascii="Times New Roman" w:hAnsi="Times New Roman" w:cs="Times New Roman"/>
          <w:b/>
        </w:rPr>
      </w:pPr>
      <w:r w:rsidRPr="007702EC">
        <w:rPr>
          <w:rFonts w:ascii="Times New Roman" w:hAnsi="Times New Roman" w:cs="Times New Roman"/>
          <w:b/>
        </w:rPr>
        <w:t>Ad.6</w:t>
      </w:r>
      <w:r>
        <w:rPr>
          <w:rFonts w:ascii="Times New Roman" w:hAnsi="Times New Roman" w:cs="Times New Roman"/>
          <w:b/>
        </w:rPr>
        <w:t>.</w:t>
      </w:r>
    </w:p>
    <w:p w:rsidR="007702EC" w:rsidRPr="00884DF1" w:rsidRDefault="007702EC" w:rsidP="007702EC">
      <w:pPr>
        <w:rPr>
          <w:rFonts w:ascii="Times New Roman" w:hAnsi="Times New Roman" w:cs="Times New Roman"/>
        </w:rPr>
      </w:pPr>
      <w:r w:rsidRPr="00884DF1">
        <w:rPr>
          <w:rFonts w:ascii="Times New Roman" w:hAnsi="Times New Roman" w:cs="Times New Roman"/>
        </w:rPr>
        <w:t>Warstwy:</w:t>
      </w:r>
    </w:p>
    <w:p w:rsidR="007702EC" w:rsidRPr="00884DF1" w:rsidRDefault="007702EC" w:rsidP="007702E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84DF1">
        <w:rPr>
          <w:rFonts w:ascii="Times New Roman" w:hAnsi="Times New Roman" w:cs="Times New Roman"/>
        </w:rPr>
        <w:t>1-blacha</w:t>
      </w:r>
    </w:p>
    <w:p w:rsidR="007702EC" w:rsidRPr="00884DF1" w:rsidRDefault="007702EC" w:rsidP="007702E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84DF1">
        <w:rPr>
          <w:rFonts w:ascii="Times New Roman" w:hAnsi="Times New Roman" w:cs="Times New Roman"/>
        </w:rPr>
        <w:t xml:space="preserve">2-deskowanie pełne szer. max 160mm , gr. min 24 mm </w:t>
      </w:r>
    </w:p>
    <w:p w:rsidR="007702EC" w:rsidRPr="00884DF1" w:rsidRDefault="007702EC" w:rsidP="007702E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84DF1">
        <w:rPr>
          <w:rFonts w:ascii="Times New Roman" w:hAnsi="Times New Roman" w:cs="Times New Roman"/>
        </w:rPr>
        <w:t>3-Szczelina wentylacyjna h=40mm</w:t>
      </w:r>
    </w:p>
    <w:p w:rsidR="007702EC" w:rsidRPr="00884DF1" w:rsidRDefault="007702EC" w:rsidP="007702E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884DF1">
        <w:rPr>
          <w:rFonts w:ascii="Times New Roman" w:hAnsi="Times New Roman" w:cs="Times New Roman"/>
        </w:rPr>
        <w:t xml:space="preserve">4 –membrana </w:t>
      </w:r>
      <w:proofErr w:type="spellStart"/>
      <w:r w:rsidRPr="00884DF1">
        <w:rPr>
          <w:rFonts w:ascii="Times New Roman" w:hAnsi="Times New Roman" w:cs="Times New Roman"/>
        </w:rPr>
        <w:t>wysokoparoprzepuszczalna</w:t>
      </w:r>
      <w:proofErr w:type="spellEnd"/>
      <w:r w:rsidRPr="00884DF1">
        <w:rPr>
          <w:rFonts w:ascii="Times New Roman" w:hAnsi="Times New Roman" w:cs="Times New Roman"/>
        </w:rPr>
        <w:t xml:space="preserve"> zgodna z PN EN 13859-1 jako warstwa otwarta dyfuzyjnie</w:t>
      </w:r>
    </w:p>
    <w:p w:rsidR="007702EC" w:rsidRPr="00884DF1" w:rsidRDefault="007702EC" w:rsidP="007702E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84DF1">
        <w:rPr>
          <w:rFonts w:ascii="Times New Roman" w:hAnsi="Times New Roman" w:cs="Times New Roman"/>
        </w:rPr>
        <w:t>5-</w:t>
      </w:r>
      <w:r w:rsidR="003F2646">
        <w:rPr>
          <w:rFonts w:ascii="Times New Roman" w:hAnsi="Times New Roman" w:cs="Times New Roman"/>
        </w:rPr>
        <w:t>i</w:t>
      </w:r>
      <w:r w:rsidRPr="00884DF1">
        <w:rPr>
          <w:rFonts w:ascii="Times New Roman" w:hAnsi="Times New Roman" w:cs="Times New Roman"/>
        </w:rPr>
        <w:t>zloacja termiczna o odpowiedniej grubości okrywająca pełną wysokość krokwi</w:t>
      </w:r>
    </w:p>
    <w:p w:rsidR="007702EC" w:rsidRPr="00884DF1" w:rsidRDefault="007702EC" w:rsidP="007702E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884DF1">
        <w:rPr>
          <w:rFonts w:ascii="Times New Roman" w:hAnsi="Times New Roman" w:cs="Times New Roman"/>
        </w:rPr>
        <w:t>6-płyta drewnopochodna ułożona szczelnie jako letnia ochrona cieplna i warstwa magazynująca ciepło zimą</w:t>
      </w:r>
    </w:p>
    <w:p w:rsidR="007702EC" w:rsidRPr="00884DF1" w:rsidRDefault="007702EC" w:rsidP="007702E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84DF1">
        <w:rPr>
          <w:rFonts w:ascii="Times New Roman" w:hAnsi="Times New Roman" w:cs="Times New Roman"/>
        </w:rPr>
        <w:t>7-Paroizolacja</w:t>
      </w:r>
    </w:p>
    <w:p w:rsidR="007702EC" w:rsidRPr="00884DF1" w:rsidRDefault="007702EC" w:rsidP="007702E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84DF1">
        <w:rPr>
          <w:rFonts w:ascii="Times New Roman" w:hAnsi="Times New Roman" w:cs="Times New Roman"/>
        </w:rPr>
        <w:t>8-przestrzeń instalacyjna</w:t>
      </w:r>
    </w:p>
    <w:p w:rsidR="007702EC" w:rsidRPr="00884DF1" w:rsidRDefault="007702EC" w:rsidP="007702E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84DF1">
        <w:rPr>
          <w:rFonts w:ascii="Times New Roman" w:hAnsi="Times New Roman" w:cs="Times New Roman"/>
        </w:rPr>
        <w:t>9-okładzina wewnętrzna</w:t>
      </w:r>
    </w:p>
    <w:p w:rsidR="007702EC" w:rsidRPr="007702EC" w:rsidRDefault="007702EC">
      <w:pPr>
        <w:rPr>
          <w:rFonts w:ascii="Times New Roman" w:hAnsi="Times New Roman" w:cs="Times New Roman"/>
          <w:b/>
        </w:rPr>
      </w:pPr>
    </w:p>
    <w:p w:rsidR="003F2646" w:rsidRPr="003F2646" w:rsidRDefault="003F2646">
      <w:pPr>
        <w:rPr>
          <w:rFonts w:ascii="Times New Roman" w:hAnsi="Times New Roman" w:cs="Times New Roman"/>
          <w:b/>
        </w:rPr>
      </w:pPr>
      <w:r w:rsidRPr="003F2646">
        <w:rPr>
          <w:rFonts w:ascii="Times New Roman" w:hAnsi="Times New Roman" w:cs="Times New Roman"/>
          <w:b/>
        </w:rPr>
        <w:t>Ad.7.</w:t>
      </w:r>
    </w:p>
    <w:p w:rsidR="003F2646" w:rsidRDefault="003F2646" w:rsidP="003F26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Blacha tytan-cynk w kolorze pokrycia.</w:t>
      </w:r>
    </w:p>
    <w:p w:rsidR="003F2646" w:rsidRPr="003F2646" w:rsidRDefault="003F2646">
      <w:pPr>
        <w:rPr>
          <w:rFonts w:ascii="Times New Roman" w:hAnsi="Times New Roman" w:cs="Times New Roman"/>
          <w:b/>
        </w:rPr>
      </w:pPr>
      <w:r w:rsidRPr="003F2646">
        <w:rPr>
          <w:rFonts w:ascii="Times New Roman" w:hAnsi="Times New Roman" w:cs="Times New Roman"/>
          <w:b/>
        </w:rPr>
        <w:t>Ad.8.</w:t>
      </w:r>
    </w:p>
    <w:p w:rsidR="003F2646" w:rsidRDefault="003F2646" w:rsidP="003F26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Blacha płaska tytan-cynk w kolorze pokrycia.</w:t>
      </w:r>
    </w:p>
    <w:p w:rsidR="003F2646" w:rsidRPr="003F2646" w:rsidRDefault="003F2646" w:rsidP="003F26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Ad.9.</w:t>
      </w:r>
    </w:p>
    <w:p w:rsidR="003F2646" w:rsidRPr="00884DF1" w:rsidRDefault="003F26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najmniej 24 mm.</w:t>
      </w:r>
    </w:p>
    <w:p w:rsidR="003F2646" w:rsidRPr="003F2646" w:rsidRDefault="003F2646" w:rsidP="003F26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</w:t>
      </w:r>
      <w:r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</w:t>
      </w:r>
    </w:p>
    <w:p w:rsidR="00357F81" w:rsidRPr="00884DF1" w:rsidRDefault="00357F81" w:rsidP="00357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Pozycja: 5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d.4 zostaje</w:t>
      </w:r>
      <w:r w:rsidR="008E3AAC">
        <w:rPr>
          <w:rFonts w:ascii="Times New Roman" w:hAnsi="Times New Roman" w:cs="Times New Roman"/>
        </w:rPr>
        <w:t xml:space="preserve"> usunięta</w:t>
      </w:r>
      <w:r>
        <w:rPr>
          <w:rFonts w:ascii="Times New Roman" w:hAnsi="Times New Roman" w:cs="Times New Roman"/>
        </w:rPr>
        <w:t>.</w:t>
      </w:r>
    </w:p>
    <w:p w:rsidR="00537BD5" w:rsidRPr="003F2646" w:rsidRDefault="00537BD5" w:rsidP="00537B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Ad.1</w:t>
      </w:r>
      <w:r w:rsidR="0002041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</w:p>
    <w:p w:rsidR="00537BD5" w:rsidRPr="00884DF1" w:rsidRDefault="00537BD5" w:rsidP="00537B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Pozycja: 5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d.4 zostaje usunięta.</w:t>
      </w:r>
    </w:p>
    <w:p w:rsidR="00020410" w:rsidRPr="003F2646" w:rsidRDefault="00020410" w:rsidP="000204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Ad.1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</w:p>
    <w:p w:rsidR="00020410" w:rsidRPr="00884DF1" w:rsidRDefault="00B716AD" w:rsidP="000204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dotyczy 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020410">
        <w:rPr>
          <w:rFonts w:ascii="Times New Roman" w:hAnsi="Times New Roman" w:cs="Times New Roman"/>
        </w:rPr>
        <w:t xml:space="preserve"> związku z usunięciem poz. </w:t>
      </w:r>
      <w:r w:rsidR="00020410">
        <w:rPr>
          <w:rFonts w:ascii="Times New Roman" w:hAnsi="Times New Roman" w:cs="Times New Roman"/>
        </w:rPr>
        <w:t xml:space="preserve">55d.4 </w:t>
      </w:r>
      <w:r w:rsidR="00020410">
        <w:rPr>
          <w:rFonts w:ascii="Times New Roman" w:hAnsi="Times New Roman" w:cs="Times New Roman"/>
        </w:rPr>
        <w:t xml:space="preserve"> i </w:t>
      </w:r>
      <w:r w:rsidR="00020410"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/>
        </w:rPr>
        <w:t>d.4.</w:t>
      </w:r>
    </w:p>
    <w:p w:rsidR="009503BD" w:rsidRPr="003F2646" w:rsidRDefault="009503BD" w:rsidP="009503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Ad.1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</w:p>
    <w:p w:rsidR="00B716AD" w:rsidRPr="00884DF1" w:rsidRDefault="00B716AD" w:rsidP="00B716AD">
      <w:pPr>
        <w:rPr>
          <w:rFonts w:ascii="Times New Roman" w:hAnsi="Times New Roman" w:cs="Times New Roman"/>
        </w:rPr>
      </w:pPr>
      <w:r w:rsidRPr="00884DF1">
        <w:rPr>
          <w:rFonts w:ascii="Times New Roman" w:hAnsi="Times New Roman" w:cs="Times New Roman"/>
        </w:rPr>
        <w:t>Deska warstwowa wierzchnie drewno- dąb, gr.14mm +-0,2%, v-fuga po długiej krawędzi, jednopasmowa, dedykowana do obiektów użyteczności publicznej</w:t>
      </w:r>
    </w:p>
    <w:p w:rsidR="00F52734" w:rsidRPr="003F2646" w:rsidRDefault="00F52734" w:rsidP="00F527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Ad.1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</w:p>
    <w:p w:rsidR="00F52734" w:rsidRPr="00884DF1" w:rsidRDefault="00F52734" w:rsidP="00F52734">
      <w:pPr>
        <w:rPr>
          <w:rFonts w:ascii="Times New Roman" w:hAnsi="Times New Roman" w:cs="Times New Roman"/>
        </w:rPr>
      </w:pPr>
      <w:r w:rsidRPr="00884DF1">
        <w:rPr>
          <w:rFonts w:ascii="Times New Roman" w:hAnsi="Times New Roman" w:cs="Times New Roman"/>
        </w:rPr>
        <w:t>Cegła oczyszczana  ręcznie, z uzupełnieniem spoin.</w:t>
      </w:r>
    </w:p>
    <w:p w:rsidR="00F52734" w:rsidRPr="003F2646" w:rsidRDefault="00F52734" w:rsidP="00F527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Ad.1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</w:p>
    <w:p w:rsidR="00F52734" w:rsidRPr="00884DF1" w:rsidRDefault="00F52734" w:rsidP="00F52734">
      <w:pPr>
        <w:rPr>
          <w:rFonts w:ascii="Times New Roman" w:hAnsi="Times New Roman" w:cs="Times New Roman"/>
        </w:rPr>
      </w:pPr>
      <w:r w:rsidRPr="00884DF1">
        <w:rPr>
          <w:rFonts w:ascii="Times New Roman" w:hAnsi="Times New Roman" w:cs="Times New Roman"/>
        </w:rPr>
        <w:t xml:space="preserve">Odgrzybianie w miejscach zagrzybionych , rozwiązanie systemowe – spełniające warunki charakterystyki: Preparat wodorozcieńczalny do usuwania mchów, porostów i alg. </w:t>
      </w:r>
    </w:p>
    <w:p w:rsidR="00F52734" w:rsidRPr="00884DF1" w:rsidRDefault="00F52734" w:rsidP="00F52734">
      <w:pPr>
        <w:pStyle w:val="NormalnyWeb"/>
        <w:numPr>
          <w:ilvl w:val="0"/>
          <w:numId w:val="1"/>
        </w:numPr>
        <w:rPr>
          <w:rFonts w:eastAsiaTheme="minorHAnsi"/>
          <w:sz w:val="22"/>
          <w:szCs w:val="22"/>
          <w:lang w:eastAsia="en-US"/>
        </w:rPr>
      </w:pPr>
      <w:r w:rsidRPr="00884DF1">
        <w:rPr>
          <w:rFonts w:eastAsiaTheme="minorHAnsi"/>
          <w:sz w:val="22"/>
          <w:szCs w:val="22"/>
          <w:lang w:eastAsia="en-US"/>
        </w:rPr>
        <w:t>O dużej zdolność wnikania i nasycania</w:t>
      </w:r>
    </w:p>
    <w:p w:rsidR="00F52734" w:rsidRPr="00884DF1" w:rsidRDefault="00F52734" w:rsidP="00F52734">
      <w:pPr>
        <w:pStyle w:val="NormalnyWeb"/>
        <w:numPr>
          <w:ilvl w:val="0"/>
          <w:numId w:val="1"/>
        </w:numPr>
        <w:rPr>
          <w:rFonts w:eastAsiaTheme="minorHAnsi"/>
          <w:sz w:val="22"/>
          <w:szCs w:val="22"/>
          <w:lang w:eastAsia="en-US"/>
        </w:rPr>
      </w:pPr>
      <w:r w:rsidRPr="00884DF1">
        <w:rPr>
          <w:rFonts w:eastAsiaTheme="minorHAnsi"/>
          <w:sz w:val="22"/>
          <w:szCs w:val="22"/>
          <w:lang w:eastAsia="en-US"/>
        </w:rPr>
        <w:t>Nie zawierający  rozpuszczalników organicznych</w:t>
      </w:r>
    </w:p>
    <w:p w:rsidR="00F52734" w:rsidRPr="00884DF1" w:rsidRDefault="00F52734" w:rsidP="00F52734">
      <w:pPr>
        <w:pStyle w:val="NormalnyWeb"/>
        <w:numPr>
          <w:ilvl w:val="0"/>
          <w:numId w:val="1"/>
        </w:numPr>
        <w:rPr>
          <w:rFonts w:eastAsiaTheme="minorHAnsi"/>
          <w:sz w:val="22"/>
          <w:szCs w:val="22"/>
          <w:lang w:eastAsia="en-US"/>
        </w:rPr>
      </w:pPr>
      <w:r w:rsidRPr="00884DF1">
        <w:rPr>
          <w:rFonts w:eastAsiaTheme="minorHAnsi"/>
          <w:sz w:val="22"/>
          <w:szCs w:val="22"/>
          <w:lang w:eastAsia="en-US"/>
        </w:rPr>
        <w:t>Nie zawierający fosforanów</w:t>
      </w:r>
    </w:p>
    <w:p w:rsidR="00F52734" w:rsidRPr="00884DF1" w:rsidRDefault="00F52734" w:rsidP="00F52734">
      <w:pPr>
        <w:pStyle w:val="NormalnyWeb"/>
        <w:numPr>
          <w:ilvl w:val="0"/>
          <w:numId w:val="1"/>
        </w:numPr>
        <w:rPr>
          <w:rFonts w:eastAsiaTheme="minorHAnsi"/>
          <w:sz w:val="22"/>
          <w:szCs w:val="22"/>
          <w:lang w:eastAsia="en-US"/>
        </w:rPr>
      </w:pPr>
      <w:r w:rsidRPr="00884DF1">
        <w:rPr>
          <w:rFonts w:eastAsiaTheme="minorHAnsi"/>
          <w:sz w:val="22"/>
          <w:szCs w:val="22"/>
          <w:lang w:eastAsia="en-US"/>
        </w:rPr>
        <w:t>Nie wydzielający szkodliwych lub drażniących oparów – dedykowany do stosowania w pomieszczeniach</w:t>
      </w:r>
    </w:p>
    <w:p w:rsidR="00F52734" w:rsidRPr="00884DF1" w:rsidRDefault="00F52734" w:rsidP="00F52734">
      <w:pPr>
        <w:pStyle w:val="NormalnyWeb"/>
        <w:numPr>
          <w:ilvl w:val="0"/>
          <w:numId w:val="1"/>
        </w:numPr>
        <w:rPr>
          <w:rFonts w:eastAsiaTheme="minorHAnsi"/>
          <w:sz w:val="22"/>
          <w:szCs w:val="22"/>
          <w:lang w:eastAsia="en-US"/>
        </w:rPr>
      </w:pPr>
      <w:r w:rsidRPr="00884DF1">
        <w:rPr>
          <w:rFonts w:eastAsiaTheme="minorHAnsi"/>
          <w:sz w:val="22"/>
          <w:szCs w:val="22"/>
          <w:lang w:eastAsia="en-US"/>
        </w:rPr>
        <w:t>Odpowiedni do stosowania na: cegły, kamień naturalny, beton, drewno, aluminium, stal, blacha ocynkowana, tworzywa sztuczne, elementy malowane.</w:t>
      </w:r>
    </w:p>
    <w:p w:rsidR="00F52734" w:rsidRPr="00884DF1" w:rsidRDefault="00F52734" w:rsidP="00F52734">
      <w:pPr>
        <w:pStyle w:val="NormalnyWeb"/>
        <w:numPr>
          <w:ilvl w:val="0"/>
          <w:numId w:val="1"/>
        </w:numPr>
        <w:rPr>
          <w:rFonts w:eastAsiaTheme="minorHAnsi"/>
          <w:sz w:val="22"/>
          <w:szCs w:val="22"/>
          <w:lang w:eastAsia="en-US"/>
        </w:rPr>
      </w:pPr>
      <w:r w:rsidRPr="00884DF1">
        <w:rPr>
          <w:rFonts w:eastAsiaTheme="minorHAnsi"/>
          <w:sz w:val="22"/>
          <w:szCs w:val="22"/>
          <w:lang w:eastAsia="en-US"/>
        </w:rPr>
        <w:t>Nie plamiący ani nie zanieczyszczający  innych materiałów</w:t>
      </w:r>
    </w:p>
    <w:p w:rsidR="00F52734" w:rsidRPr="00884DF1" w:rsidRDefault="00F52734" w:rsidP="00F52734">
      <w:pPr>
        <w:pStyle w:val="NormalnyWeb"/>
        <w:numPr>
          <w:ilvl w:val="0"/>
          <w:numId w:val="1"/>
        </w:numPr>
        <w:rPr>
          <w:rFonts w:eastAsiaTheme="minorHAnsi"/>
          <w:sz w:val="22"/>
          <w:szCs w:val="22"/>
          <w:lang w:eastAsia="en-US"/>
        </w:rPr>
      </w:pPr>
      <w:r w:rsidRPr="00884DF1">
        <w:rPr>
          <w:rFonts w:eastAsiaTheme="minorHAnsi"/>
          <w:sz w:val="22"/>
          <w:szCs w:val="22"/>
          <w:lang w:eastAsia="en-US"/>
        </w:rPr>
        <w:t xml:space="preserve">Produkt nie jest traktowany jako </w:t>
      </w:r>
      <w:proofErr w:type="spellStart"/>
      <w:r w:rsidRPr="00884DF1">
        <w:rPr>
          <w:rFonts w:eastAsiaTheme="minorHAnsi"/>
          <w:sz w:val="22"/>
          <w:szCs w:val="22"/>
          <w:lang w:eastAsia="en-US"/>
        </w:rPr>
        <w:t>biocyd</w:t>
      </w:r>
      <w:proofErr w:type="spellEnd"/>
      <w:r w:rsidRPr="00884DF1">
        <w:rPr>
          <w:rFonts w:eastAsiaTheme="minorHAnsi"/>
          <w:sz w:val="22"/>
          <w:szCs w:val="22"/>
          <w:lang w:eastAsia="en-US"/>
        </w:rPr>
        <w:t xml:space="preserve"> w rozumieniu dyrektywy 98/8/EC</w:t>
      </w:r>
    </w:p>
    <w:p w:rsidR="00F52734" w:rsidRDefault="00F52734" w:rsidP="00F52734">
      <w:pPr>
        <w:pStyle w:val="NormalnyWeb"/>
        <w:numPr>
          <w:ilvl w:val="0"/>
          <w:numId w:val="1"/>
        </w:numPr>
        <w:rPr>
          <w:rFonts w:eastAsiaTheme="minorHAnsi"/>
          <w:sz w:val="22"/>
          <w:szCs w:val="22"/>
          <w:lang w:eastAsia="en-US"/>
        </w:rPr>
      </w:pPr>
      <w:r w:rsidRPr="00884DF1">
        <w:rPr>
          <w:rFonts w:eastAsiaTheme="minorHAnsi"/>
          <w:sz w:val="22"/>
          <w:szCs w:val="22"/>
          <w:lang w:eastAsia="en-US"/>
        </w:rPr>
        <w:t>Spełniający wymagania dla detergentów wg. regulacji unijnej 648/2004</w:t>
      </w:r>
    </w:p>
    <w:p w:rsidR="00F52734" w:rsidRPr="00F52734" w:rsidRDefault="00F52734" w:rsidP="00F52734">
      <w:pPr>
        <w:ind w:left="360"/>
        <w:rPr>
          <w:rFonts w:ascii="Times New Roman" w:hAnsi="Times New Roman" w:cs="Times New Roman"/>
          <w:b/>
        </w:rPr>
      </w:pPr>
      <w:r w:rsidRPr="00F52734">
        <w:rPr>
          <w:rFonts w:ascii="Times New Roman" w:hAnsi="Times New Roman" w:cs="Times New Roman"/>
          <w:b/>
        </w:rPr>
        <w:t>Ad.1</w:t>
      </w:r>
      <w:r>
        <w:rPr>
          <w:rFonts w:ascii="Times New Roman" w:hAnsi="Times New Roman" w:cs="Times New Roman"/>
          <w:b/>
        </w:rPr>
        <w:t>6.</w:t>
      </w:r>
    </w:p>
    <w:p w:rsidR="00CF7440" w:rsidRPr="00884DF1" w:rsidRDefault="008B40E4" w:rsidP="00A77836">
      <w:pPr>
        <w:rPr>
          <w:rFonts w:ascii="Times New Roman" w:hAnsi="Times New Roman" w:cs="Times New Roman"/>
        </w:rPr>
      </w:pPr>
      <w:r w:rsidRPr="00884DF1">
        <w:rPr>
          <w:rFonts w:ascii="Times New Roman" w:hAnsi="Times New Roman" w:cs="Times New Roman"/>
        </w:rPr>
        <w:t>W miejscach d</w:t>
      </w:r>
      <w:r w:rsidR="00A77836" w:rsidRPr="00884DF1">
        <w:rPr>
          <w:rFonts w:ascii="Times New Roman" w:hAnsi="Times New Roman" w:cs="Times New Roman"/>
        </w:rPr>
        <w:t xml:space="preserve">o </w:t>
      </w:r>
      <w:proofErr w:type="spellStart"/>
      <w:r w:rsidR="00A77836" w:rsidRPr="00884DF1">
        <w:rPr>
          <w:rFonts w:ascii="Times New Roman" w:hAnsi="Times New Roman" w:cs="Times New Roman"/>
        </w:rPr>
        <w:t>hydrofobizacji</w:t>
      </w:r>
      <w:proofErr w:type="spellEnd"/>
      <w:r w:rsidR="00A77836" w:rsidRPr="00884DF1">
        <w:rPr>
          <w:rFonts w:ascii="Times New Roman" w:hAnsi="Times New Roman" w:cs="Times New Roman"/>
        </w:rPr>
        <w:t xml:space="preserve"> należy zastosować rozwiązanie systemowe </w:t>
      </w:r>
      <w:r w:rsidR="00CF7440" w:rsidRPr="00884DF1">
        <w:rPr>
          <w:rFonts w:ascii="Times New Roman" w:hAnsi="Times New Roman" w:cs="Times New Roman"/>
        </w:rPr>
        <w:t xml:space="preserve">dedykowane </w:t>
      </w:r>
      <w:r w:rsidR="00A77836" w:rsidRPr="00884DF1">
        <w:rPr>
          <w:rFonts w:ascii="Times New Roman" w:hAnsi="Times New Roman" w:cs="Times New Roman"/>
        </w:rPr>
        <w:t>do renowacji</w:t>
      </w:r>
      <w:r w:rsidR="00CF7440" w:rsidRPr="00884DF1">
        <w:rPr>
          <w:rFonts w:ascii="Times New Roman" w:hAnsi="Times New Roman" w:cs="Times New Roman"/>
        </w:rPr>
        <w:t xml:space="preserve"> murów</w:t>
      </w:r>
      <w:r w:rsidRPr="00884DF1">
        <w:rPr>
          <w:rFonts w:ascii="Times New Roman" w:hAnsi="Times New Roman" w:cs="Times New Roman"/>
        </w:rPr>
        <w:t xml:space="preserve"> we wnętrzach wodorozcieńczalne, na elewacji wodorozcieńczalne lub rozpuszczalnikowe.</w:t>
      </w:r>
    </w:p>
    <w:p w:rsidR="00CD6D0A" w:rsidRPr="00884DF1" w:rsidRDefault="00000828" w:rsidP="00A77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Ad.</w:t>
      </w:r>
      <w:r w:rsidR="00CF7440" w:rsidRPr="00884DF1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>.</w:t>
      </w:r>
    </w:p>
    <w:p w:rsidR="00CF7440" w:rsidRPr="00884DF1" w:rsidRDefault="00CF7440" w:rsidP="00A77836">
      <w:pPr>
        <w:rPr>
          <w:rFonts w:ascii="Times New Roman" w:hAnsi="Times New Roman" w:cs="Times New Roman"/>
        </w:rPr>
      </w:pPr>
      <w:r w:rsidRPr="00884DF1">
        <w:rPr>
          <w:rFonts w:ascii="Times New Roman" w:hAnsi="Times New Roman" w:cs="Times New Roman"/>
        </w:rPr>
        <w:t>Do wykonania są uzupełnienia elementów uszkodzonych wg. wizji lokalnej</w:t>
      </w:r>
    </w:p>
    <w:p w:rsidR="00CF7440" w:rsidRPr="00884DF1" w:rsidRDefault="00000828" w:rsidP="00CF74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Ad.18.</w:t>
      </w:r>
    </w:p>
    <w:p w:rsidR="00CF7440" w:rsidRPr="00884DF1" w:rsidRDefault="00CF7440" w:rsidP="00CF7440">
      <w:pPr>
        <w:rPr>
          <w:rFonts w:ascii="Times New Roman" w:hAnsi="Times New Roman" w:cs="Times New Roman"/>
        </w:rPr>
      </w:pPr>
      <w:r w:rsidRPr="00884DF1">
        <w:rPr>
          <w:rFonts w:ascii="Times New Roman" w:hAnsi="Times New Roman" w:cs="Times New Roman"/>
        </w:rPr>
        <w:t>Do renowacji murów należy zastosować rozwiązanie systemowe dedykowane do renowacji murów</w:t>
      </w:r>
    </w:p>
    <w:p w:rsidR="008B40E4" w:rsidRPr="00884DF1" w:rsidRDefault="008B40E4" w:rsidP="00CF7440">
      <w:pPr>
        <w:rPr>
          <w:rFonts w:ascii="Times New Roman" w:hAnsi="Times New Roman" w:cs="Times New Roman"/>
        </w:rPr>
      </w:pPr>
      <w:r w:rsidRPr="00884DF1">
        <w:rPr>
          <w:rFonts w:ascii="Times New Roman" w:hAnsi="Times New Roman" w:cs="Times New Roman"/>
        </w:rPr>
        <w:t>Na elewacjach przed malowaniem użyć szpachlówki do wyrównania całej struktury, a gruntować odpowiednim gruntem pod wybraną farbę elewacyjną.</w:t>
      </w:r>
    </w:p>
    <w:p w:rsidR="00CF7440" w:rsidRPr="00884DF1" w:rsidRDefault="00000828" w:rsidP="00CF74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</w:t>
      </w:r>
      <w:r w:rsidR="00CF7440" w:rsidRPr="00884DF1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  <w:b/>
        </w:rPr>
        <w:t>.</w:t>
      </w:r>
    </w:p>
    <w:p w:rsidR="00CF7440" w:rsidRDefault="008B40E4" w:rsidP="00A77836">
      <w:pPr>
        <w:rPr>
          <w:rFonts w:ascii="Times New Roman" w:hAnsi="Times New Roman" w:cs="Times New Roman"/>
        </w:rPr>
      </w:pPr>
      <w:r w:rsidRPr="00884DF1">
        <w:rPr>
          <w:rFonts w:ascii="Times New Roman" w:hAnsi="Times New Roman" w:cs="Times New Roman"/>
        </w:rPr>
        <w:t>Na elewacjach 1 m, a min. 0,5m powyżej linii podciągania kapilarnego należy zastosować tynki renowacyjne</w:t>
      </w:r>
    </w:p>
    <w:p w:rsidR="009C4961" w:rsidRPr="00884DF1" w:rsidRDefault="009C4961" w:rsidP="00A77836">
      <w:pPr>
        <w:rPr>
          <w:rFonts w:ascii="Times New Roman" w:hAnsi="Times New Roman" w:cs="Times New Roman"/>
        </w:rPr>
      </w:pPr>
    </w:p>
    <w:p w:rsidR="008B40E4" w:rsidRPr="00884DF1" w:rsidRDefault="00000828" w:rsidP="00A778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Ad.</w:t>
      </w:r>
      <w:r w:rsidR="008B40E4" w:rsidRPr="00884DF1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.</w:t>
      </w:r>
    </w:p>
    <w:p w:rsidR="008B40E4" w:rsidRPr="00884DF1" w:rsidRDefault="00463A27" w:rsidP="00A77836">
      <w:pPr>
        <w:rPr>
          <w:rFonts w:ascii="Times New Roman" w:hAnsi="Times New Roman" w:cs="Times New Roman"/>
        </w:rPr>
      </w:pPr>
      <w:r w:rsidRPr="00884DF1">
        <w:rPr>
          <w:rFonts w:ascii="Times New Roman" w:hAnsi="Times New Roman" w:cs="Times New Roman"/>
        </w:rPr>
        <w:t xml:space="preserve">Dokumentacja opracowywana była 3 lata temu , zakres izolacji do ustalenia w ramach nadzoru autorskiego. Ściany zewnętrzne – ok.30 </w:t>
      </w:r>
      <w:proofErr w:type="spellStart"/>
      <w:r w:rsidRPr="00884DF1">
        <w:rPr>
          <w:rFonts w:ascii="Times New Roman" w:hAnsi="Times New Roman" w:cs="Times New Roman"/>
        </w:rPr>
        <w:t>mb</w:t>
      </w:r>
      <w:proofErr w:type="spellEnd"/>
    </w:p>
    <w:p w:rsidR="008B40E4" w:rsidRPr="00884DF1" w:rsidRDefault="00000828" w:rsidP="00A778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</w:t>
      </w:r>
      <w:r w:rsidR="008B40E4" w:rsidRPr="00884DF1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>.</w:t>
      </w:r>
    </w:p>
    <w:p w:rsidR="008B40E4" w:rsidRPr="00884DF1" w:rsidRDefault="008B40E4" w:rsidP="00A77836">
      <w:pPr>
        <w:rPr>
          <w:rFonts w:ascii="Times New Roman" w:hAnsi="Times New Roman" w:cs="Times New Roman"/>
        </w:rPr>
      </w:pPr>
      <w:r w:rsidRPr="00884DF1">
        <w:rPr>
          <w:rFonts w:ascii="Times New Roman" w:hAnsi="Times New Roman" w:cs="Times New Roman"/>
        </w:rPr>
        <w:t>Rysy pogłębić i uzupełnić zaprawą dedykowaną do renowacji z użyciem siatki elewacyjnej przy łączeniu „nowe” ze „starym”. Przy głębszych rysach stosować dwukomponentową elastyczną masę szpachlową .</w:t>
      </w:r>
    </w:p>
    <w:p w:rsidR="008B40E4" w:rsidRPr="00884DF1" w:rsidRDefault="00000828" w:rsidP="008B40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</w:t>
      </w:r>
      <w:r w:rsidR="008B40E4" w:rsidRPr="00884DF1">
        <w:rPr>
          <w:rFonts w:ascii="Times New Roman" w:hAnsi="Times New Roman" w:cs="Times New Roman"/>
          <w:b/>
        </w:rPr>
        <w:t>22</w:t>
      </w:r>
      <w:r w:rsidR="00463A27" w:rsidRPr="00884DF1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463A27" w:rsidRPr="00884DF1">
        <w:rPr>
          <w:rFonts w:ascii="Times New Roman" w:hAnsi="Times New Roman" w:cs="Times New Roman"/>
          <w:b/>
        </w:rPr>
        <w:t>23,</w:t>
      </w:r>
      <w:r>
        <w:rPr>
          <w:rFonts w:ascii="Times New Roman" w:hAnsi="Times New Roman" w:cs="Times New Roman"/>
          <w:b/>
        </w:rPr>
        <w:t xml:space="preserve"> 2</w:t>
      </w:r>
      <w:r w:rsidR="00463A27" w:rsidRPr="00884DF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</w:p>
    <w:p w:rsidR="00463A27" w:rsidRPr="00884DF1" w:rsidRDefault="00463A27" w:rsidP="008B40E4">
      <w:pPr>
        <w:rPr>
          <w:rFonts w:ascii="Times New Roman" w:hAnsi="Times New Roman" w:cs="Times New Roman"/>
        </w:rPr>
      </w:pPr>
      <w:r w:rsidRPr="00884DF1">
        <w:rPr>
          <w:rFonts w:ascii="Times New Roman" w:hAnsi="Times New Roman" w:cs="Times New Roman"/>
        </w:rPr>
        <w:t>Oprawy oświetleniowe ze względu na zmiany w dostępności pierwotnie proponowanych wprowadza się zmianę o parametrach:</w:t>
      </w:r>
    </w:p>
    <w:p w:rsidR="00463A27" w:rsidRPr="00884DF1" w:rsidRDefault="00463A27" w:rsidP="008B40E4">
      <w:pPr>
        <w:rPr>
          <w:rFonts w:ascii="Times New Roman" w:hAnsi="Times New Roman" w:cs="Times New Roman"/>
          <w:b/>
        </w:rPr>
      </w:pPr>
      <w:r w:rsidRPr="00884DF1">
        <w:rPr>
          <w:rFonts w:ascii="Times New Roman" w:hAnsi="Times New Roman" w:cs="Times New Roman"/>
          <w:b/>
        </w:rPr>
        <w:t>Reflektory piwnica na pojedynczych bazach 21 sztuk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Oprawa LED do szynoprzewodu trójobwodowego lub bazy montażowej.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Źródło światła, moduł z diodami typu HI POWER LED na metalowym rdzeniu PCB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 xml:space="preserve">moc oprawy max 24W, 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 xml:space="preserve">strumień świetlny min. 1470lm, 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 xml:space="preserve">współczynnik oddawania barw min. CRI92, temperatura </w:t>
      </w:r>
      <w:proofErr w:type="spellStart"/>
      <w:r w:rsidRPr="00884DF1">
        <w:rPr>
          <w:rFonts w:ascii="Times New Roman" w:hAnsi="Times New Roman" w:cs="Times New Roman"/>
          <w:i/>
        </w:rPr>
        <w:t>bawrowa</w:t>
      </w:r>
      <w:proofErr w:type="spellEnd"/>
      <w:r w:rsidRPr="00884DF1">
        <w:rPr>
          <w:rFonts w:ascii="Times New Roman" w:hAnsi="Times New Roman" w:cs="Times New Roman"/>
          <w:i/>
        </w:rPr>
        <w:t xml:space="preserve"> 3000K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tolerancja chromatyczności SDCM 1.5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Kąt rozsyłu 48st, plama światła uzyskana z odległości 3m powinna mieć średnicę minimum 2,6m, z natężeniem min 220lx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 xml:space="preserve">Korpus oprawy z odlewu </w:t>
      </w:r>
      <w:proofErr w:type="spellStart"/>
      <w:r w:rsidRPr="00884DF1">
        <w:rPr>
          <w:rFonts w:ascii="Times New Roman" w:hAnsi="Times New Roman" w:cs="Times New Roman"/>
          <w:i/>
        </w:rPr>
        <w:t>aluminowego</w:t>
      </w:r>
      <w:proofErr w:type="spellEnd"/>
      <w:r w:rsidRPr="00884DF1">
        <w:rPr>
          <w:rFonts w:ascii="Times New Roman" w:hAnsi="Times New Roman" w:cs="Times New Roman"/>
          <w:i/>
        </w:rPr>
        <w:t>, malowanego na kolor RAL9011, możliwość obrotu oprawy względem osi pionowej 360st, oraz wychylenia względem osi poziomej w zakresie min 270st.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 xml:space="preserve">Oprawa </w:t>
      </w:r>
      <w:proofErr w:type="spellStart"/>
      <w:r w:rsidRPr="00884DF1">
        <w:rPr>
          <w:rFonts w:ascii="Times New Roman" w:hAnsi="Times New Roman" w:cs="Times New Roman"/>
          <w:i/>
        </w:rPr>
        <w:t>ściemnialna</w:t>
      </w:r>
      <w:proofErr w:type="spellEnd"/>
      <w:r w:rsidRPr="00884DF1">
        <w:rPr>
          <w:rFonts w:ascii="Times New Roman" w:hAnsi="Times New Roman" w:cs="Times New Roman"/>
          <w:i/>
        </w:rPr>
        <w:t xml:space="preserve"> w systemie DALI w zakresie 100-0,1%, bez efektu migotania rejestrowanego przez aparaty fotograficzne i kamery video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Żywotność oprawy min. 50000godzin, przy spadku strumienia do 90% wartości nominalnej dla liczby źródeł światła nie większej niż 10% - L90B10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współczynnik zawodności: nie większy niż 0,1% dla okresu 50000godzin.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średnica głowicy optycznej max 105mm, waga max. 0,8kg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 xml:space="preserve">możliwość </w:t>
      </w:r>
      <w:proofErr w:type="spellStart"/>
      <w:r w:rsidRPr="00884DF1">
        <w:rPr>
          <w:rFonts w:ascii="Times New Roman" w:hAnsi="Times New Roman" w:cs="Times New Roman"/>
          <w:i/>
        </w:rPr>
        <w:t>beznarzędziowego</w:t>
      </w:r>
      <w:proofErr w:type="spellEnd"/>
      <w:r w:rsidRPr="00884DF1">
        <w:rPr>
          <w:rFonts w:ascii="Times New Roman" w:hAnsi="Times New Roman" w:cs="Times New Roman"/>
          <w:i/>
        </w:rPr>
        <w:t xml:space="preserve"> montażu dodatkowych akcesoriów jak przesłony </w:t>
      </w:r>
      <w:proofErr w:type="spellStart"/>
      <w:r w:rsidRPr="00884DF1">
        <w:rPr>
          <w:rFonts w:ascii="Times New Roman" w:hAnsi="Times New Roman" w:cs="Times New Roman"/>
          <w:i/>
        </w:rPr>
        <w:t>antyolśnieniowe</w:t>
      </w:r>
      <w:proofErr w:type="spellEnd"/>
      <w:r w:rsidRPr="00884DF1">
        <w:rPr>
          <w:rFonts w:ascii="Times New Roman" w:hAnsi="Times New Roman" w:cs="Times New Roman"/>
          <w:i/>
        </w:rPr>
        <w:t xml:space="preserve"> "plaster miodu", klapy typu barn </w:t>
      </w:r>
      <w:proofErr w:type="spellStart"/>
      <w:r w:rsidRPr="00884DF1">
        <w:rPr>
          <w:rFonts w:ascii="Times New Roman" w:hAnsi="Times New Roman" w:cs="Times New Roman"/>
          <w:i/>
        </w:rPr>
        <w:t>doors</w:t>
      </w:r>
      <w:proofErr w:type="spellEnd"/>
      <w:r w:rsidRPr="00884DF1">
        <w:rPr>
          <w:rFonts w:ascii="Times New Roman" w:hAnsi="Times New Roman" w:cs="Times New Roman"/>
          <w:i/>
        </w:rPr>
        <w:t>, filtry barwne itp.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Klasa ochronności II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Wymagany certyfikat ENEC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</w:p>
    <w:p w:rsidR="00463A27" w:rsidRPr="00884DF1" w:rsidRDefault="00463A27" w:rsidP="008B40E4">
      <w:pPr>
        <w:rPr>
          <w:rFonts w:ascii="Times New Roman" w:hAnsi="Times New Roman" w:cs="Times New Roman"/>
          <w:b/>
        </w:rPr>
      </w:pPr>
      <w:r w:rsidRPr="00884DF1">
        <w:rPr>
          <w:rFonts w:ascii="Times New Roman" w:hAnsi="Times New Roman" w:cs="Times New Roman"/>
          <w:b/>
        </w:rPr>
        <w:t>Reflektory  piwnica na szynoprzewodzie 7 sztuk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Oprawa LED do szynoprzewodu trójobwodowego lub bazy montażowej.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Źródło światła, moduł z diodami typu HI POWER LED na metalowym rdzeniu PCB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 xml:space="preserve">moc oprawy max 24W, 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 xml:space="preserve">strumień świetlny min. 1660lm, 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 xml:space="preserve">współczynnik oddawania barw min. CRI92, temperatura </w:t>
      </w:r>
      <w:proofErr w:type="spellStart"/>
      <w:r w:rsidRPr="00884DF1">
        <w:rPr>
          <w:rFonts w:ascii="Times New Roman" w:hAnsi="Times New Roman" w:cs="Times New Roman"/>
          <w:i/>
        </w:rPr>
        <w:t>bawrowa</w:t>
      </w:r>
      <w:proofErr w:type="spellEnd"/>
      <w:r w:rsidRPr="00884DF1">
        <w:rPr>
          <w:rFonts w:ascii="Times New Roman" w:hAnsi="Times New Roman" w:cs="Times New Roman"/>
          <w:i/>
        </w:rPr>
        <w:t xml:space="preserve"> 3000K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tolerancja chromatyczności SDCM 1.5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Kąt rozsyłu 16st, plama światła uzyskana z odległości 5m powinna mieć średnicę minimum 1,4m, z natężeniem min 650lx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 xml:space="preserve">Korpus oprawy z odlewu </w:t>
      </w:r>
      <w:proofErr w:type="spellStart"/>
      <w:r w:rsidRPr="00884DF1">
        <w:rPr>
          <w:rFonts w:ascii="Times New Roman" w:hAnsi="Times New Roman" w:cs="Times New Roman"/>
          <w:i/>
        </w:rPr>
        <w:t>aluminowego</w:t>
      </w:r>
      <w:proofErr w:type="spellEnd"/>
      <w:r w:rsidRPr="00884DF1">
        <w:rPr>
          <w:rFonts w:ascii="Times New Roman" w:hAnsi="Times New Roman" w:cs="Times New Roman"/>
          <w:i/>
        </w:rPr>
        <w:t>, malowanego na kolor RAL9011, możliwość obrotu oprawy względem osi pionowej 360st, oraz wychylenia względem osi poziomej w zakresie min 270st.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 xml:space="preserve">Oprawa </w:t>
      </w:r>
      <w:proofErr w:type="spellStart"/>
      <w:r w:rsidRPr="00884DF1">
        <w:rPr>
          <w:rFonts w:ascii="Times New Roman" w:hAnsi="Times New Roman" w:cs="Times New Roman"/>
          <w:i/>
        </w:rPr>
        <w:t>ściemnialna</w:t>
      </w:r>
      <w:proofErr w:type="spellEnd"/>
      <w:r w:rsidRPr="00884DF1">
        <w:rPr>
          <w:rFonts w:ascii="Times New Roman" w:hAnsi="Times New Roman" w:cs="Times New Roman"/>
          <w:i/>
        </w:rPr>
        <w:t xml:space="preserve"> w systemie DALI w zakresie 100-0,1%, bez efektu migotania rejestrowanego przez aparaty fotograficzne i kamery video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Żywotność oprawy min. 50000godzin, przy spadku strumienia do 90% wartości nominalnej dla liczby źródeł światła nie większej niż 10% - L90B10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lastRenderedPageBreak/>
        <w:t>współczynnik zawodności: nie większy niż 0,1% dla okresu 50000godzin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średnica głowicy optycznej max 105mm, waga max. 0,8kg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 xml:space="preserve">możliwość </w:t>
      </w:r>
      <w:proofErr w:type="spellStart"/>
      <w:r w:rsidRPr="00884DF1">
        <w:rPr>
          <w:rFonts w:ascii="Times New Roman" w:hAnsi="Times New Roman" w:cs="Times New Roman"/>
          <w:i/>
        </w:rPr>
        <w:t>beznarzędziowego</w:t>
      </w:r>
      <w:proofErr w:type="spellEnd"/>
      <w:r w:rsidRPr="00884DF1">
        <w:rPr>
          <w:rFonts w:ascii="Times New Roman" w:hAnsi="Times New Roman" w:cs="Times New Roman"/>
          <w:i/>
        </w:rPr>
        <w:t xml:space="preserve"> montażu dodatkowych akcesoriów jak przesłony </w:t>
      </w:r>
      <w:proofErr w:type="spellStart"/>
      <w:r w:rsidRPr="00884DF1">
        <w:rPr>
          <w:rFonts w:ascii="Times New Roman" w:hAnsi="Times New Roman" w:cs="Times New Roman"/>
          <w:i/>
        </w:rPr>
        <w:t>antyolśnieniowe</w:t>
      </w:r>
      <w:proofErr w:type="spellEnd"/>
      <w:r w:rsidRPr="00884DF1">
        <w:rPr>
          <w:rFonts w:ascii="Times New Roman" w:hAnsi="Times New Roman" w:cs="Times New Roman"/>
          <w:i/>
        </w:rPr>
        <w:t xml:space="preserve"> "plaster miodu", klapy typu barn </w:t>
      </w:r>
      <w:proofErr w:type="spellStart"/>
      <w:r w:rsidRPr="00884DF1">
        <w:rPr>
          <w:rFonts w:ascii="Times New Roman" w:hAnsi="Times New Roman" w:cs="Times New Roman"/>
          <w:i/>
        </w:rPr>
        <w:t>doors</w:t>
      </w:r>
      <w:proofErr w:type="spellEnd"/>
      <w:r w:rsidRPr="00884DF1">
        <w:rPr>
          <w:rFonts w:ascii="Times New Roman" w:hAnsi="Times New Roman" w:cs="Times New Roman"/>
          <w:i/>
        </w:rPr>
        <w:t>, filtry barwne itp.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 xml:space="preserve">Klasa </w:t>
      </w:r>
      <w:proofErr w:type="spellStart"/>
      <w:r w:rsidRPr="00884DF1">
        <w:rPr>
          <w:rFonts w:ascii="Times New Roman" w:hAnsi="Times New Roman" w:cs="Times New Roman"/>
          <w:i/>
        </w:rPr>
        <w:t>ochronnosci</w:t>
      </w:r>
      <w:proofErr w:type="spellEnd"/>
      <w:r w:rsidRPr="00884DF1">
        <w:rPr>
          <w:rFonts w:ascii="Times New Roman" w:hAnsi="Times New Roman" w:cs="Times New Roman"/>
          <w:i/>
        </w:rPr>
        <w:t xml:space="preserve"> II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Wymagany certyfikat ENEC</w:t>
      </w:r>
    </w:p>
    <w:p w:rsidR="00463A27" w:rsidRPr="00884DF1" w:rsidRDefault="00463A27" w:rsidP="008B40E4">
      <w:pPr>
        <w:rPr>
          <w:rFonts w:ascii="Times New Roman" w:hAnsi="Times New Roman" w:cs="Times New Roman"/>
        </w:rPr>
      </w:pPr>
    </w:p>
    <w:p w:rsidR="00463A27" w:rsidRPr="00884DF1" w:rsidRDefault="00463A27" w:rsidP="008B40E4">
      <w:pPr>
        <w:rPr>
          <w:rFonts w:ascii="Times New Roman" w:hAnsi="Times New Roman" w:cs="Times New Roman"/>
          <w:b/>
        </w:rPr>
      </w:pPr>
      <w:r w:rsidRPr="00884DF1">
        <w:rPr>
          <w:rFonts w:ascii="Times New Roman" w:hAnsi="Times New Roman" w:cs="Times New Roman"/>
          <w:b/>
        </w:rPr>
        <w:t>Linie świetlne 2 sztuki</w:t>
      </w:r>
    </w:p>
    <w:p w:rsidR="00463A27" w:rsidRPr="00884DF1" w:rsidRDefault="00463A27" w:rsidP="008B40E4">
      <w:pPr>
        <w:rPr>
          <w:rFonts w:ascii="Times New Roman" w:hAnsi="Times New Roman" w:cs="Times New Roman"/>
          <w:b/>
        </w:rPr>
      </w:pPr>
      <w:r w:rsidRPr="00884DF1">
        <w:rPr>
          <w:rFonts w:ascii="Times New Roman" w:hAnsi="Times New Roman" w:cs="Times New Roman"/>
          <w:b/>
        </w:rPr>
        <w:t>Oprawy wpuszczane w sufit (sala kinowa) 9 sztuk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 xml:space="preserve">Oprawa LED typu </w:t>
      </w:r>
      <w:proofErr w:type="spellStart"/>
      <w:r w:rsidRPr="00884DF1">
        <w:rPr>
          <w:rFonts w:ascii="Times New Roman" w:hAnsi="Times New Roman" w:cs="Times New Roman"/>
          <w:i/>
        </w:rPr>
        <w:t>downlight</w:t>
      </w:r>
      <w:proofErr w:type="spellEnd"/>
      <w:r w:rsidRPr="00884DF1">
        <w:rPr>
          <w:rFonts w:ascii="Times New Roman" w:hAnsi="Times New Roman" w:cs="Times New Roman"/>
          <w:i/>
        </w:rPr>
        <w:t xml:space="preserve"> do montażu w suficie podwieszanym.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 xml:space="preserve">Źródło </w:t>
      </w:r>
      <w:proofErr w:type="spellStart"/>
      <w:r w:rsidRPr="00884DF1">
        <w:rPr>
          <w:rFonts w:ascii="Times New Roman" w:hAnsi="Times New Roman" w:cs="Times New Roman"/>
          <w:i/>
        </w:rPr>
        <w:t>swiatła</w:t>
      </w:r>
      <w:proofErr w:type="spellEnd"/>
      <w:r w:rsidRPr="00884DF1">
        <w:rPr>
          <w:rFonts w:ascii="Times New Roman" w:hAnsi="Times New Roman" w:cs="Times New Roman"/>
          <w:i/>
        </w:rPr>
        <w:t xml:space="preserve">, moduł z diodami </w:t>
      </w:r>
      <w:proofErr w:type="spellStart"/>
      <w:r w:rsidRPr="00884DF1">
        <w:rPr>
          <w:rFonts w:ascii="Times New Roman" w:hAnsi="Times New Roman" w:cs="Times New Roman"/>
          <w:i/>
        </w:rPr>
        <w:t>tyu</w:t>
      </w:r>
      <w:proofErr w:type="spellEnd"/>
      <w:r w:rsidRPr="00884DF1">
        <w:rPr>
          <w:rFonts w:ascii="Times New Roman" w:hAnsi="Times New Roman" w:cs="Times New Roman"/>
          <w:i/>
        </w:rPr>
        <w:t xml:space="preserve"> HI POWER LED na metalowym rdzeniu PCB. 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Moc oprawy 17W.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Strumień świetlny min: 1070lm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współczynnik oddawania barw CRI92, temperatura barwowa 3000K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tolerancja chromatyczności SDCM 1.5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Kąt odcięcia 30st., połówkowy kąt rozsyłu światła 70st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 xml:space="preserve">Przesłona </w:t>
      </w:r>
      <w:proofErr w:type="spellStart"/>
      <w:r w:rsidRPr="00884DF1">
        <w:rPr>
          <w:rFonts w:ascii="Times New Roman" w:hAnsi="Times New Roman" w:cs="Times New Roman"/>
          <w:i/>
        </w:rPr>
        <w:t>antyolśnieniowa</w:t>
      </w:r>
      <w:proofErr w:type="spellEnd"/>
      <w:r w:rsidRPr="00884DF1">
        <w:rPr>
          <w:rFonts w:ascii="Times New Roman" w:hAnsi="Times New Roman" w:cs="Times New Roman"/>
          <w:i/>
        </w:rPr>
        <w:t xml:space="preserve"> w postaci polimerowego stożka malowanego na kolor RAL9011.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 xml:space="preserve">Oprawa </w:t>
      </w:r>
      <w:proofErr w:type="spellStart"/>
      <w:r w:rsidRPr="00884DF1">
        <w:rPr>
          <w:rFonts w:ascii="Times New Roman" w:hAnsi="Times New Roman" w:cs="Times New Roman"/>
          <w:i/>
        </w:rPr>
        <w:t>ściemnialna</w:t>
      </w:r>
      <w:proofErr w:type="spellEnd"/>
      <w:r w:rsidRPr="00884DF1">
        <w:rPr>
          <w:rFonts w:ascii="Times New Roman" w:hAnsi="Times New Roman" w:cs="Times New Roman"/>
          <w:i/>
        </w:rPr>
        <w:t xml:space="preserve"> w systemie DALI w zakresie 100-0,1%, bez efektu migotania rejestrowanego przez aparaty fotograficzne i kamery video.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Żywotność oprawy min. 50000godzin, przy spadku strumienia do 90% wartości nominalnej dla liczby źródeł światła nie większej niż 10% - L90B10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współczynnik zawodności: nie większy niż 0,1% dla okresu 50000godzin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średnica oprawy max 120mm, głębokość wpuszczenia max 75mm, max. 0,5kg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klasa ochrony II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Wymagany certyfikat ENEC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</w:p>
    <w:p w:rsidR="00463A27" w:rsidRPr="00884DF1" w:rsidRDefault="00463A27" w:rsidP="008B40E4">
      <w:pPr>
        <w:rPr>
          <w:rFonts w:ascii="Times New Roman" w:hAnsi="Times New Roman" w:cs="Times New Roman"/>
          <w:b/>
        </w:rPr>
      </w:pPr>
      <w:r w:rsidRPr="00884DF1">
        <w:rPr>
          <w:rFonts w:ascii="Times New Roman" w:hAnsi="Times New Roman" w:cs="Times New Roman"/>
          <w:b/>
        </w:rPr>
        <w:t xml:space="preserve">Oprawy </w:t>
      </w:r>
      <w:proofErr w:type="spellStart"/>
      <w:r w:rsidRPr="00884DF1">
        <w:rPr>
          <w:rFonts w:ascii="Times New Roman" w:hAnsi="Times New Roman" w:cs="Times New Roman"/>
          <w:b/>
        </w:rPr>
        <w:t>nastropowe</w:t>
      </w:r>
      <w:proofErr w:type="spellEnd"/>
      <w:r w:rsidRPr="00884DF1">
        <w:rPr>
          <w:rFonts w:ascii="Times New Roman" w:hAnsi="Times New Roman" w:cs="Times New Roman"/>
          <w:b/>
        </w:rPr>
        <w:t xml:space="preserve"> (przedsionek Sali i sala z hologramem) 26 sztuk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 xml:space="preserve">Oprawa LED typu </w:t>
      </w:r>
      <w:proofErr w:type="spellStart"/>
      <w:r w:rsidRPr="00884DF1">
        <w:rPr>
          <w:rFonts w:ascii="Times New Roman" w:hAnsi="Times New Roman" w:cs="Times New Roman"/>
          <w:i/>
        </w:rPr>
        <w:t>downlight</w:t>
      </w:r>
      <w:proofErr w:type="spellEnd"/>
      <w:r w:rsidRPr="00884DF1">
        <w:rPr>
          <w:rFonts w:ascii="Times New Roman" w:hAnsi="Times New Roman" w:cs="Times New Roman"/>
          <w:i/>
        </w:rPr>
        <w:t xml:space="preserve"> do montażu w suficie podwieszanym.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 xml:space="preserve">Źródło </w:t>
      </w:r>
      <w:proofErr w:type="spellStart"/>
      <w:r w:rsidRPr="00884DF1">
        <w:rPr>
          <w:rFonts w:ascii="Times New Roman" w:hAnsi="Times New Roman" w:cs="Times New Roman"/>
          <w:i/>
        </w:rPr>
        <w:t>swiatła</w:t>
      </w:r>
      <w:proofErr w:type="spellEnd"/>
      <w:r w:rsidRPr="00884DF1">
        <w:rPr>
          <w:rFonts w:ascii="Times New Roman" w:hAnsi="Times New Roman" w:cs="Times New Roman"/>
          <w:i/>
        </w:rPr>
        <w:t xml:space="preserve">, moduł z diodami </w:t>
      </w:r>
      <w:proofErr w:type="spellStart"/>
      <w:r w:rsidRPr="00884DF1">
        <w:rPr>
          <w:rFonts w:ascii="Times New Roman" w:hAnsi="Times New Roman" w:cs="Times New Roman"/>
          <w:i/>
        </w:rPr>
        <w:t>tyu</w:t>
      </w:r>
      <w:proofErr w:type="spellEnd"/>
      <w:r w:rsidRPr="00884DF1">
        <w:rPr>
          <w:rFonts w:ascii="Times New Roman" w:hAnsi="Times New Roman" w:cs="Times New Roman"/>
          <w:i/>
        </w:rPr>
        <w:t xml:space="preserve"> HI POWER LED na metalowym rdzeniu PCB. 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Moc oprawy 16W.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Strumień świetlny min: 1080lm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współczynnik oddawania barw CRI92, temperatura barwowa 3000K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tolerancja chromatyczności SDCM 1.5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Kąt odcięcia 30st., połówkowy kąt rozsyłu światła 70st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 xml:space="preserve">Przesłona </w:t>
      </w:r>
      <w:proofErr w:type="spellStart"/>
      <w:r w:rsidRPr="00884DF1">
        <w:rPr>
          <w:rFonts w:ascii="Times New Roman" w:hAnsi="Times New Roman" w:cs="Times New Roman"/>
          <w:i/>
        </w:rPr>
        <w:t>antyolśnieniowa</w:t>
      </w:r>
      <w:proofErr w:type="spellEnd"/>
      <w:r w:rsidRPr="00884DF1">
        <w:rPr>
          <w:rFonts w:ascii="Times New Roman" w:hAnsi="Times New Roman" w:cs="Times New Roman"/>
          <w:i/>
        </w:rPr>
        <w:t xml:space="preserve"> w postaci polimerowego stożka malowanego na kolor RAL9011.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 xml:space="preserve">Oprawa </w:t>
      </w:r>
      <w:proofErr w:type="spellStart"/>
      <w:r w:rsidRPr="00884DF1">
        <w:rPr>
          <w:rFonts w:ascii="Times New Roman" w:hAnsi="Times New Roman" w:cs="Times New Roman"/>
          <w:i/>
        </w:rPr>
        <w:t>ściemnialna</w:t>
      </w:r>
      <w:proofErr w:type="spellEnd"/>
      <w:r w:rsidRPr="00884DF1">
        <w:rPr>
          <w:rFonts w:ascii="Times New Roman" w:hAnsi="Times New Roman" w:cs="Times New Roman"/>
          <w:i/>
        </w:rPr>
        <w:t xml:space="preserve"> w systemie DALI w zakresie 100-0,1%, bez efektu migotania rejestrowanego przez aparaty fotograficzne i kamery video.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Żywotność oprawy min. 50000godzin, przy spadku strumienia do 90% wartości nominalnej dla liczby źródeł światła nie większej niż 10% - L90B10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współczynnik zawodności: nie większy niż 0,1% dla okresu 50000godzin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Średnica oprawy max 130mm, wysokość max 95mm, max. 0,9kg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Wymagany certyfikat ENEC</w:t>
      </w:r>
    </w:p>
    <w:p w:rsidR="00463A27" w:rsidRPr="00884DF1" w:rsidRDefault="00463A27" w:rsidP="008B40E4">
      <w:pPr>
        <w:rPr>
          <w:rFonts w:ascii="Times New Roman" w:hAnsi="Times New Roman" w:cs="Times New Roman"/>
        </w:rPr>
      </w:pPr>
    </w:p>
    <w:p w:rsidR="00463A27" w:rsidRPr="00884DF1" w:rsidRDefault="00463A27" w:rsidP="008B40E4">
      <w:pPr>
        <w:rPr>
          <w:rFonts w:ascii="Times New Roman" w:hAnsi="Times New Roman" w:cs="Times New Roman"/>
          <w:b/>
        </w:rPr>
      </w:pPr>
      <w:r w:rsidRPr="00884DF1">
        <w:rPr>
          <w:rFonts w:ascii="Times New Roman" w:hAnsi="Times New Roman" w:cs="Times New Roman"/>
          <w:b/>
        </w:rPr>
        <w:t>Oprawy w patio 7sztuk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Oprawa LED do szynoprzewodu trójobwodowego lub bazy montażowej.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Źródło światła, moduł z diodami typu HI POWER LED na metalowym rdzeniu PCB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 xml:space="preserve">moc oprawy max 24W, 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 xml:space="preserve">strumień świetlny min. 1470lm, 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 xml:space="preserve">współczynnik oddawania barw min. CRI92, temperatura </w:t>
      </w:r>
      <w:proofErr w:type="spellStart"/>
      <w:r w:rsidRPr="00884DF1">
        <w:rPr>
          <w:rFonts w:ascii="Times New Roman" w:hAnsi="Times New Roman" w:cs="Times New Roman"/>
          <w:i/>
        </w:rPr>
        <w:t>bawrowa</w:t>
      </w:r>
      <w:proofErr w:type="spellEnd"/>
      <w:r w:rsidRPr="00884DF1">
        <w:rPr>
          <w:rFonts w:ascii="Times New Roman" w:hAnsi="Times New Roman" w:cs="Times New Roman"/>
          <w:i/>
        </w:rPr>
        <w:t xml:space="preserve"> 3000K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lastRenderedPageBreak/>
        <w:t>tolerancja chromatyczności SDCM 1.5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Kąt rozsyłu 48st, plama światła uzyskana z odległości 3m powinna mieć średnicę minimum 2,6m, z natężeniem min 220lx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 xml:space="preserve">Korpus oprawy z </w:t>
      </w:r>
      <w:proofErr w:type="spellStart"/>
      <w:r w:rsidRPr="00884DF1">
        <w:rPr>
          <w:rFonts w:ascii="Times New Roman" w:hAnsi="Times New Roman" w:cs="Times New Roman"/>
          <w:i/>
        </w:rPr>
        <w:t>adlewu</w:t>
      </w:r>
      <w:proofErr w:type="spellEnd"/>
      <w:r w:rsidRPr="00884DF1">
        <w:rPr>
          <w:rFonts w:ascii="Times New Roman" w:hAnsi="Times New Roman" w:cs="Times New Roman"/>
          <w:i/>
        </w:rPr>
        <w:t xml:space="preserve"> </w:t>
      </w:r>
      <w:proofErr w:type="spellStart"/>
      <w:r w:rsidRPr="00884DF1">
        <w:rPr>
          <w:rFonts w:ascii="Times New Roman" w:hAnsi="Times New Roman" w:cs="Times New Roman"/>
          <w:i/>
        </w:rPr>
        <w:t>aluminowego</w:t>
      </w:r>
      <w:proofErr w:type="spellEnd"/>
      <w:r w:rsidRPr="00884DF1">
        <w:rPr>
          <w:rFonts w:ascii="Times New Roman" w:hAnsi="Times New Roman" w:cs="Times New Roman"/>
          <w:i/>
        </w:rPr>
        <w:t>, malowanego na kolor RAL9011, możliwość obrotu oprawy względem osi pionowej 360st, oraz wychylenia względem osi poziomej w zakresie min 270st.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 xml:space="preserve">Oprawa </w:t>
      </w:r>
      <w:proofErr w:type="spellStart"/>
      <w:r w:rsidRPr="00884DF1">
        <w:rPr>
          <w:rFonts w:ascii="Times New Roman" w:hAnsi="Times New Roman" w:cs="Times New Roman"/>
          <w:i/>
        </w:rPr>
        <w:t>ściemnialna</w:t>
      </w:r>
      <w:proofErr w:type="spellEnd"/>
      <w:r w:rsidRPr="00884DF1">
        <w:rPr>
          <w:rFonts w:ascii="Times New Roman" w:hAnsi="Times New Roman" w:cs="Times New Roman"/>
          <w:i/>
        </w:rPr>
        <w:t xml:space="preserve"> w systemie DALI w zakresie 100-0,1%, bez efektu migotania rejestrowanego przez aparaty fotograficzne i kamery video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Żywotność oprawy min. 50000godzin, przy spadku strumienia do 90% wartości nominalnej dla liczby źródeł światła nie większej niż 10% - L90B10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współczynnik zawodności: nie większy niż 0,1% dla okresu 50000godzin.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średnica głowicy optycznej max 105mm, waga max. 0,8kg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 xml:space="preserve">możliwość </w:t>
      </w:r>
      <w:proofErr w:type="spellStart"/>
      <w:r w:rsidRPr="00884DF1">
        <w:rPr>
          <w:rFonts w:ascii="Times New Roman" w:hAnsi="Times New Roman" w:cs="Times New Roman"/>
          <w:i/>
        </w:rPr>
        <w:t>beznarzędziowego</w:t>
      </w:r>
      <w:proofErr w:type="spellEnd"/>
      <w:r w:rsidRPr="00884DF1">
        <w:rPr>
          <w:rFonts w:ascii="Times New Roman" w:hAnsi="Times New Roman" w:cs="Times New Roman"/>
          <w:i/>
        </w:rPr>
        <w:t xml:space="preserve"> montażu dodatkowych akcesoriów jak przesłony </w:t>
      </w:r>
      <w:proofErr w:type="spellStart"/>
      <w:r w:rsidRPr="00884DF1">
        <w:rPr>
          <w:rFonts w:ascii="Times New Roman" w:hAnsi="Times New Roman" w:cs="Times New Roman"/>
          <w:i/>
        </w:rPr>
        <w:t>antyolśnieniowe</w:t>
      </w:r>
      <w:proofErr w:type="spellEnd"/>
      <w:r w:rsidRPr="00884DF1">
        <w:rPr>
          <w:rFonts w:ascii="Times New Roman" w:hAnsi="Times New Roman" w:cs="Times New Roman"/>
          <w:i/>
        </w:rPr>
        <w:t xml:space="preserve"> "plaster miodu", klapy typu barn </w:t>
      </w:r>
      <w:proofErr w:type="spellStart"/>
      <w:r w:rsidRPr="00884DF1">
        <w:rPr>
          <w:rFonts w:ascii="Times New Roman" w:hAnsi="Times New Roman" w:cs="Times New Roman"/>
          <w:i/>
        </w:rPr>
        <w:t>doors</w:t>
      </w:r>
      <w:proofErr w:type="spellEnd"/>
      <w:r w:rsidRPr="00884DF1">
        <w:rPr>
          <w:rFonts w:ascii="Times New Roman" w:hAnsi="Times New Roman" w:cs="Times New Roman"/>
          <w:i/>
        </w:rPr>
        <w:t>, filtry barwne itp.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Klasa ochronności II</w:t>
      </w:r>
    </w:p>
    <w:p w:rsidR="00463A27" w:rsidRPr="00884DF1" w:rsidRDefault="00463A27" w:rsidP="00463A27">
      <w:pPr>
        <w:spacing w:after="0" w:line="240" w:lineRule="auto"/>
        <w:rPr>
          <w:rFonts w:ascii="Times New Roman" w:hAnsi="Times New Roman" w:cs="Times New Roman"/>
          <w:i/>
        </w:rPr>
      </w:pPr>
      <w:r w:rsidRPr="00884DF1">
        <w:rPr>
          <w:rFonts w:ascii="Times New Roman" w:hAnsi="Times New Roman" w:cs="Times New Roman"/>
          <w:i/>
        </w:rPr>
        <w:t>Wymagany certyfikat ENEC</w:t>
      </w:r>
    </w:p>
    <w:p w:rsidR="00463A27" w:rsidRPr="00884DF1" w:rsidRDefault="00463A27" w:rsidP="008B40E4">
      <w:pPr>
        <w:rPr>
          <w:rFonts w:ascii="Times New Roman" w:hAnsi="Times New Roman" w:cs="Times New Roman"/>
          <w:b/>
          <w:highlight w:val="yellow"/>
        </w:rPr>
      </w:pPr>
    </w:p>
    <w:p w:rsidR="008B40E4" w:rsidRPr="00884DF1" w:rsidRDefault="00000828" w:rsidP="008B40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</w:t>
      </w:r>
      <w:r w:rsidR="008B40E4" w:rsidRPr="00884DF1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>.</w:t>
      </w:r>
    </w:p>
    <w:p w:rsidR="008B40E4" w:rsidRPr="00884DF1" w:rsidRDefault="00463A27" w:rsidP="008B40E4">
      <w:pPr>
        <w:rPr>
          <w:rFonts w:ascii="Times New Roman" w:hAnsi="Times New Roman" w:cs="Times New Roman"/>
        </w:rPr>
      </w:pPr>
      <w:r w:rsidRPr="00884DF1">
        <w:rPr>
          <w:rFonts w:ascii="Times New Roman" w:hAnsi="Times New Roman" w:cs="Times New Roman"/>
        </w:rPr>
        <w:t xml:space="preserve">Zakres rzeczowy przetargu do ustalenia z MNZP – projektory z aplikacjami są integralną częścią prac aranżacyjnych nie budowlanych. </w:t>
      </w:r>
    </w:p>
    <w:p w:rsidR="008B40E4" w:rsidRPr="00884DF1" w:rsidRDefault="00000828" w:rsidP="008B40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</w:t>
      </w:r>
      <w:r w:rsidR="008B40E4" w:rsidRPr="00884DF1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.</w:t>
      </w:r>
    </w:p>
    <w:p w:rsidR="008B40E4" w:rsidRPr="00884DF1" w:rsidRDefault="00463A27" w:rsidP="008B40E4">
      <w:pPr>
        <w:rPr>
          <w:rFonts w:ascii="Times New Roman" w:hAnsi="Times New Roman" w:cs="Times New Roman"/>
        </w:rPr>
      </w:pPr>
      <w:r w:rsidRPr="00884DF1">
        <w:rPr>
          <w:rFonts w:ascii="Times New Roman" w:hAnsi="Times New Roman" w:cs="Times New Roman"/>
        </w:rPr>
        <w:t xml:space="preserve">Zakres rzeczowy przetargu do ustalenia z MNZP – makieta fizyczna jest integralną częścią prac aranżacyjnych nie budowlanych.  Instalacja elektryczna </w:t>
      </w:r>
      <w:proofErr w:type="spellStart"/>
      <w:r w:rsidRPr="00884DF1">
        <w:rPr>
          <w:rFonts w:ascii="Times New Roman" w:hAnsi="Times New Roman" w:cs="Times New Roman"/>
        </w:rPr>
        <w:t>floorbox</w:t>
      </w:r>
      <w:proofErr w:type="spellEnd"/>
      <w:r w:rsidRPr="00884DF1">
        <w:rPr>
          <w:rFonts w:ascii="Times New Roman" w:hAnsi="Times New Roman" w:cs="Times New Roman"/>
        </w:rPr>
        <w:t xml:space="preserve"> nie były przewidywane, gniazda na ścianie są w bezpośrednim sąsiedztwie.</w:t>
      </w:r>
    </w:p>
    <w:p w:rsidR="00463A27" w:rsidRPr="00884DF1" w:rsidRDefault="00000828" w:rsidP="00463A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</w:t>
      </w:r>
      <w:r w:rsidR="00463A27" w:rsidRPr="00884DF1"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  <w:b/>
        </w:rPr>
        <w:t>.</w:t>
      </w:r>
    </w:p>
    <w:p w:rsidR="00463A27" w:rsidRPr="00884DF1" w:rsidRDefault="00000828" w:rsidP="00463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63A27" w:rsidRPr="00884DF1">
        <w:rPr>
          <w:rFonts w:ascii="Times New Roman" w:hAnsi="Times New Roman" w:cs="Times New Roman"/>
        </w:rPr>
        <w:t>olorystyka  tynków ustalona zostanie w ramach nadzoru autorskiego podczas komisji z udziałem Konserwatora na podstawie przygotowanych na ścianie próbek – kolorystyka w zakresie tonu zbliżona do istniejącej. Kolorystyka detalu – obróbki blacha tytan –cynk.</w:t>
      </w:r>
    </w:p>
    <w:p w:rsidR="00463A27" w:rsidRPr="00884DF1" w:rsidRDefault="001C0ED6" w:rsidP="00463A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</w:t>
      </w:r>
      <w:r w:rsidR="00463A27" w:rsidRPr="00884DF1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>.</w:t>
      </w:r>
    </w:p>
    <w:p w:rsidR="00463A27" w:rsidRPr="00884DF1" w:rsidRDefault="003847ED" w:rsidP="00463A27">
      <w:pPr>
        <w:rPr>
          <w:rFonts w:ascii="Times New Roman" w:hAnsi="Times New Roman" w:cs="Times New Roman"/>
        </w:rPr>
      </w:pPr>
      <w:r w:rsidRPr="003847ED">
        <w:rPr>
          <w:rFonts w:ascii="Times New Roman" w:hAnsi="Times New Roman" w:cs="Times New Roman"/>
        </w:rPr>
        <w:t>D</w:t>
      </w:r>
      <w:r w:rsidR="00463A27" w:rsidRPr="003847ED">
        <w:rPr>
          <w:rFonts w:ascii="Times New Roman" w:hAnsi="Times New Roman" w:cs="Times New Roman"/>
        </w:rPr>
        <w:t xml:space="preserve">rzwi zewnętrzne dąb, wizualnie w </w:t>
      </w:r>
      <w:r w:rsidRPr="003847ED">
        <w:rPr>
          <w:rFonts w:ascii="Times New Roman" w:hAnsi="Times New Roman" w:cs="Times New Roman"/>
        </w:rPr>
        <w:t>nawiązaniu</w:t>
      </w:r>
      <w:r w:rsidR="00463A27" w:rsidRPr="003847ED">
        <w:rPr>
          <w:rFonts w:ascii="Times New Roman" w:hAnsi="Times New Roman" w:cs="Times New Roman"/>
        </w:rPr>
        <w:t xml:space="preserve"> do istniejących, zgodne z warunkami technicznymi</w:t>
      </w:r>
      <w:r w:rsidR="00463A27" w:rsidRPr="00884DF1">
        <w:rPr>
          <w:rFonts w:ascii="Times New Roman" w:hAnsi="Times New Roman" w:cs="Times New Roman"/>
        </w:rPr>
        <w:t xml:space="preserve"> obowiązującymi od 31 grudnia 2020r., wewnętrzne wg. odpowiedzi  na pytanie1,2,3.</w:t>
      </w:r>
    </w:p>
    <w:p w:rsidR="00463A27" w:rsidRPr="00884DF1" w:rsidRDefault="001C0ED6" w:rsidP="00463A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</w:t>
      </w:r>
      <w:r w:rsidR="00463A27" w:rsidRPr="00884DF1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>.</w:t>
      </w:r>
    </w:p>
    <w:p w:rsidR="00463A27" w:rsidRDefault="00463A27" w:rsidP="00463A27">
      <w:pPr>
        <w:rPr>
          <w:rFonts w:ascii="Times New Roman" w:hAnsi="Times New Roman" w:cs="Times New Roman"/>
        </w:rPr>
      </w:pPr>
      <w:r w:rsidRPr="00884DF1">
        <w:rPr>
          <w:rFonts w:ascii="Times New Roman" w:hAnsi="Times New Roman" w:cs="Times New Roman"/>
        </w:rPr>
        <w:t xml:space="preserve">30 x60 kolor szarość – dwa odcienie jaśniejszy (biegi)i ciemniejszy(spoczniki) , gres rektyfikowany, powierzchnia </w:t>
      </w:r>
      <w:proofErr w:type="spellStart"/>
      <w:r w:rsidRPr="00884DF1">
        <w:rPr>
          <w:rFonts w:ascii="Times New Roman" w:hAnsi="Times New Roman" w:cs="Times New Roman"/>
        </w:rPr>
        <w:t>niepoślizgowa</w:t>
      </w:r>
      <w:proofErr w:type="spellEnd"/>
      <w:r w:rsidRPr="00884DF1">
        <w:rPr>
          <w:rFonts w:ascii="Times New Roman" w:hAnsi="Times New Roman" w:cs="Times New Roman"/>
        </w:rPr>
        <w:t>, stopnice fabryczne z nacięciami antypoślizgowymi, fuga kolor tytan, cokół cięty z pł</w:t>
      </w:r>
      <w:r w:rsidR="001C0ED6">
        <w:rPr>
          <w:rFonts w:ascii="Times New Roman" w:hAnsi="Times New Roman" w:cs="Times New Roman"/>
        </w:rPr>
        <w:t>ytki –górna krawędź fabryczna.</w:t>
      </w:r>
    </w:p>
    <w:p w:rsidR="00463A27" w:rsidRPr="00884DF1" w:rsidRDefault="001C0ED6" w:rsidP="00463A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</w:t>
      </w:r>
      <w:r w:rsidR="00463A27" w:rsidRPr="00884DF1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>.</w:t>
      </w:r>
    </w:p>
    <w:p w:rsidR="00463A27" w:rsidRPr="00884DF1" w:rsidRDefault="003847ED" w:rsidP="00463A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bookmarkStart w:id="0" w:name="_GoBack"/>
      <w:bookmarkEnd w:id="0"/>
      <w:r w:rsidR="00463A27" w:rsidRPr="00884DF1">
        <w:rPr>
          <w:rFonts w:ascii="Times New Roman" w:hAnsi="Times New Roman" w:cs="Times New Roman"/>
        </w:rPr>
        <w:t>owierzchnia klatki schodowej ul. S</w:t>
      </w:r>
      <w:r w:rsidR="001C0ED6">
        <w:rPr>
          <w:rFonts w:ascii="Times New Roman" w:hAnsi="Times New Roman" w:cs="Times New Roman"/>
        </w:rPr>
        <w:t>er</w:t>
      </w:r>
      <w:r w:rsidR="00463A27" w:rsidRPr="00884DF1">
        <w:rPr>
          <w:rFonts w:ascii="Times New Roman" w:hAnsi="Times New Roman" w:cs="Times New Roman"/>
        </w:rPr>
        <w:t xml:space="preserve">bańska </w:t>
      </w:r>
      <w:r w:rsidR="00884022">
        <w:rPr>
          <w:rFonts w:ascii="Times New Roman" w:hAnsi="Times New Roman" w:cs="Times New Roman"/>
        </w:rPr>
        <w:t>– 116,40</w:t>
      </w:r>
      <w:r w:rsidR="00463A27" w:rsidRPr="00884DF1">
        <w:rPr>
          <w:rFonts w:ascii="Times New Roman" w:hAnsi="Times New Roman" w:cs="Times New Roman"/>
        </w:rPr>
        <w:t xml:space="preserve"> m</w:t>
      </w:r>
      <w:r w:rsidR="00463A27" w:rsidRPr="00884022">
        <w:rPr>
          <w:rFonts w:ascii="Times New Roman" w:hAnsi="Times New Roman" w:cs="Times New Roman"/>
          <w:vertAlign w:val="superscript"/>
        </w:rPr>
        <w:t>2</w:t>
      </w:r>
    </w:p>
    <w:sectPr w:rsidR="00463A27" w:rsidRPr="0088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F4C71"/>
    <w:multiLevelType w:val="hybridMultilevel"/>
    <w:tmpl w:val="D69EE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92386"/>
    <w:multiLevelType w:val="multilevel"/>
    <w:tmpl w:val="1790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17"/>
    <w:rsid w:val="00000828"/>
    <w:rsid w:val="00020410"/>
    <w:rsid w:val="000E349E"/>
    <w:rsid w:val="00130346"/>
    <w:rsid w:val="001C0ED6"/>
    <w:rsid w:val="001C193E"/>
    <w:rsid w:val="001D3C7E"/>
    <w:rsid w:val="001E1754"/>
    <w:rsid w:val="00213812"/>
    <w:rsid w:val="00240D97"/>
    <w:rsid w:val="002737C8"/>
    <w:rsid w:val="00313EB0"/>
    <w:rsid w:val="0034661D"/>
    <w:rsid w:val="00357F81"/>
    <w:rsid w:val="003847ED"/>
    <w:rsid w:val="003F2646"/>
    <w:rsid w:val="00463A27"/>
    <w:rsid w:val="004F69CC"/>
    <w:rsid w:val="00537BD5"/>
    <w:rsid w:val="006A7AFA"/>
    <w:rsid w:val="00725399"/>
    <w:rsid w:val="007702EC"/>
    <w:rsid w:val="00884022"/>
    <w:rsid w:val="00884DF1"/>
    <w:rsid w:val="008B40E4"/>
    <w:rsid w:val="008D7080"/>
    <w:rsid w:val="008E3AAC"/>
    <w:rsid w:val="008F3679"/>
    <w:rsid w:val="009503BD"/>
    <w:rsid w:val="00957A90"/>
    <w:rsid w:val="0098767D"/>
    <w:rsid w:val="009B6357"/>
    <w:rsid w:val="009C4961"/>
    <w:rsid w:val="00A10D87"/>
    <w:rsid w:val="00A57EC2"/>
    <w:rsid w:val="00A742C9"/>
    <w:rsid w:val="00A77836"/>
    <w:rsid w:val="00B21717"/>
    <w:rsid w:val="00B61344"/>
    <w:rsid w:val="00B716AD"/>
    <w:rsid w:val="00C04AD7"/>
    <w:rsid w:val="00CD6D0A"/>
    <w:rsid w:val="00CF7440"/>
    <w:rsid w:val="00D01563"/>
    <w:rsid w:val="00D73A13"/>
    <w:rsid w:val="00F16132"/>
    <w:rsid w:val="00F5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6ABC2-FB4C-4637-BCE8-7F22FF39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7836"/>
    <w:rPr>
      <w:b/>
      <w:bCs/>
    </w:rPr>
  </w:style>
  <w:style w:type="paragraph" w:styleId="Akapitzlist">
    <w:name w:val="List Paragraph"/>
    <w:basedOn w:val="Normalny"/>
    <w:uiPriority w:val="34"/>
    <w:qFormat/>
    <w:rsid w:val="00A778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1405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</dc:creator>
  <cp:lastModifiedBy>User</cp:lastModifiedBy>
  <cp:revision>5</cp:revision>
  <cp:lastPrinted>2019-10-28T10:55:00Z</cp:lastPrinted>
  <dcterms:created xsi:type="dcterms:W3CDTF">2019-10-28T10:43:00Z</dcterms:created>
  <dcterms:modified xsi:type="dcterms:W3CDTF">2019-10-28T11:04:00Z</dcterms:modified>
</cp:coreProperties>
</file>